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B1B" w:rsidRPr="00B67D97" w:rsidRDefault="006D4B1B" w:rsidP="006D4B1B">
      <w:pPr>
        <w:pStyle w:val="Akapitzlist"/>
        <w:ind w:left="1077"/>
        <w:jc w:val="both"/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</w:pPr>
      <w:r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>WYMOGI DOTYCZĄCE PROGRAMU KOMPUTEROWEGO ZINTEGROWANEGO DO SCZYTYWANIA PAMIĘCI POMPY.</w:t>
      </w:r>
      <w:r w:rsidR="00827F80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ab/>
      </w:r>
    </w:p>
    <w:p w:rsidR="006D4B1B" w:rsidRPr="00B67D97" w:rsidRDefault="006D4B1B" w:rsidP="006D4B1B">
      <w:pPr>
        <w:jc w:val="both"/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</w:pPr>
      <w:r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PAKIET NR </w:t>
      </w:r>
      <w:r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2 </w:t>
      </w:r>
    </w:p>
    <w:p w:rsidR="006D4B1B" w:rsidRPr="00B67D97" w:rsidRDefault="006D4B1B" w:rsidP="006D4B1B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Aktualne bazy (wszystkie możliwe z jednego sczytania pompy, na wykresach lub  w tabelach dokładna dawka, czas – z dokładnością podawania bazy przez pompę)</w:t>
      </w:r>
    </w:p>
    <w:p w:rsidR="006D4B1B" w:rsidRPr="00B67D97" w:rsidRDefault="006D4B1B" w:rsidP="006D4B1B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Stosowane wartości przeliczników z ustalonymi przedziałami czasu w kalkulatorach bolusów, </w:t>
      </w:r>
    </w:p>
    <w:p w:rsidR="006D4B1B" w:rsidRPr="00B67D97" w:rsidRDefault="006D4B1B" w:rsidP="006D4B1B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Historia bolusów (dokładnie podany rodzaj bolusa, dawka, i godzina ich podania)</w:t>
      </w:r>
    </w:p>
    <w:p w:rsidR="006D4B1B" w:rsidRPr="00B67D97" w:rsidRDefault="006D4B1B" w:rsidP="006D4B1B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Historia wypełnień </w:t>
      </w:r>
      <w:r w:rsidR="000C52D5">
        <w:rPr>
          <w:rFonts w:ascii="Tahoma" w:hAnsi="Tahoma" w:cs="Tahoma"/>
          <w:color w:val="000000" w:themeColor="text1"/>
          <w:sz w:val="18"/>
          <w:szCs w:val="18"/>
        </w:rPr>
        <w:t>drenu.</w:t>
      </w:r>
    </w:p>
    <w:p w:rsidR="006D4B1B" w:rsidRPr="00B67D97" w:rsidRDefault="006D4B1B" w:rsidP="006D4B1B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Wykresy dzienne, na których muszą być przedstawione: </w:t>
      </w:r>
    </w:p>
    <w:p w:rsidR="006D4B1B" w:rsidRPr="00B67D97" w:rsidRDefault="006D4B1B" w:rsidP="006D4B1B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stosowana w danym dniu baza podstawowa</w:t>
      </w:r>
    </w:p>
    <w:p w:rsidR="006D4B1B" w:rsidRPr="00B67D97" w:rsidRDefault="006D4B1B" w:rsidP="006D4B1B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czasowa zmiana bazy</w:t>
      </w:r>
    </w:p>
    <w:p w:rsidR="006D4B1B" w:rsidRPr="00B67D97" w:rsidRDefault="006D4B1B" w:rsidP="006D4B1B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zaznaczenie momentu zatrzymania i włączenia pompy</w:t>
      </w:r>
    </w:p>
    <w:p w:rsidR="006D4B1B" w:rsidRPr="00B67D97" w:rsidRDefault="006D4B1B" w:rsidP="006D4B1B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wszystkie podane bolusy z rozróżnieniem rodzaju i oznaczeniem czasu podania bolusa, w tym  przedłużonego</w:t>
      </w:r>
    </w:p>
    <w:p w:rsidR="006D4B1B" w:rsidRPr="00B67D97" w:rsidRDefault="006D4B1B" w:rsidP="006D4B1B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wyniki glikemii przesłane ze współpracującego </w:t>
      </w:r>
      <w:proofErr w:type="spellStart"/>
      <w:r w:rsidRPr="00B67D97">
        <w:rPr>
          <w:rFonts w:ascii="Tahoma" w:hAnsi="Tahoma" w:cs="Tahoma"/>
          <w:color w:val="000000" w:themeColor="text1"/>
          <w:sz w:val="18"/>
          <w:szCs w:val="18"/>
        </w:rPr>
        <w:t>glukometru</w:t>
      </w:r>
      <w:proofErr w:type="spellEnd"/>
    </w:p>
    <w:p w:rsidR="006D4B1B" w:rsidRPr="00B67D97" w:rsidRDefault="006D4B1B" w:rsidP="006D4B1B">
      <w:pPr>
        <w:numPr>
          <w:ilvl w:val="0"/>
          <w:numId w:val="4"/>
        </w:numPr>
        <w:ind w:left="1069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Historia alarmów</w:t>
      </w:r>
    </w:p>
    <w:p w:rsidR="006D4B1B" w:rsidRDefault="006D4B1B" w:rsidP="006D4B1B">
      <w:pPr>
        <w:numPr>
          <w:ilvl w:val="0"/>
          <w:numId w:val="4"/>
        </w:numPr>
        <w:ind w:left="1069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Program do odczytywania danych z pompy musi mieć jednocześnie możliwość odczytywania danych z </w:t>
      </w:r>
      <w:proofErr w:type="spellStart"/>
      <w:r w:rsidRPr="00B67D97">
        <w:rPr>
          <w:rFonts w:ascii="Tahoma" w:hAnsi="Tahoma" w:cs="Tahoma"/>
          <w:color w:val="000000" w:themeColor="text1"/>
          <w:sz w:val="18"/>
          <w:szCs w:val="18"/>
        </w:rPr>
        <w:t>glukometru</w:t>
      </w:r>
      <w:proofErr w:type="spellEnd"/>
      <w:r w:rsidRPr="00B67D97">
        <w:rPr>
          <w:rFonts w:ascii="Tahoma" w:hAnsi="Tahoma" w:cs="Tahoma"/>
          <w:color w:val="000000" w:themeColor="text1"/>
          <w:sz w:val="18"/>
          <w:szCs w:val="18"/>
        </w:rPr>
        <w:t>, do którego paski są refundowane w dniu ogłoszenia przetargu oraz integracji obu informacji. Powinien zawierać analizę statystyczną uwzględniająca minimum: średnią liczbę pomiarów na dobę, średnią glikemię, odchylenie standardowe, odsetek wartości glikemii poniżej i powyżej wartości docelowych</w:t>
      </w:r>
    </w:p>
    <w:p w:rsidR="00827F80" w:rsidRPr="00B67D97" w:rsidRDefault="00827F80" w:rsidP="006D4B1B">
      <w:pPr>
        <w:numPr>
          <w:ilvl w:val="0"/>
          <w:numId w:val="4"/>
        </w:numPr>
        <w:ind w:left="1069"/>
        <w:jc w:val="both"/>
        <w:rPr>
          <w:rFonts w:ascii="Tahoma" w:hAnsi="Tahoma" w:cs="Tahoma"/>
          <w:color w:val="000000" w:themeColor="text1"/>
          <w:sz w:val="18"/>
          <w:szCs w:val="18"/>
        </w:rPr>
      </w:pPr>
      <w:r>
        <w:rPr>
          <w:rFonts w:ascii="Tahoma" w:hAnsi="Tahoma" w:cs="Tahoma"/>
          <w:color w:val="000000" w:themeColor="text1"/>
          <w:sz w:val="18"/>
          <w:szCs w:val="18"/>
        </w:rPr>
        <w:t>Kable USB do przesyłania danych do komputera</w:t>
      </w:r>
    </w:p>
    <w:p w:rsidR="006D4B1B" w:rsidRPr="00B67D97" w:rsidRDefault="006D4B1B" w:rsidP="006D4B1B">
      <w:pPr>
        <w:numPr>
          <w:ilvl w:val="0"/>
          <w:numId w:val="3"/>
        </w:numPr>
        <w:ind w:left="1069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Udostępnienie programu pacjentom na życzenie bezpłatnie</w:t>
      </w:r>
    </w:p>
    <w:p w:rsidR="006D4B1B" w:rsidRPr="00B67D97" w:rsidRDefault="006D4B1B" w:rsidP="006D4B1B">
      <w:pPr>
        <w:jc w:val="both"/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</w:pPr>
    </w:p>
    <w:p w:rsidR="006D4B1B" w:rsidRDefault="006D4B1B" w:rsidP="006D4B1B">
      <w:pPr>
        <w:tabs>
          <w:tab w:val="left" w:pos="284"/>
          <w:tab w:val="left" w:pos="2268"/>
        </w:tabs>
        <w:rPr>
          <w:rFonts w:ascii="Tahoma" w:eastAsia="Tahoma" w:hAnsi="Tahoma" w:cs="Tahoma"/>
          <w:color w:val="000000" w:themeColor="text1"/>
          <w:kern w:val="1"/>
          <w:sz w:val="18"/>
          <w:szCs w:val="18"/>
        </w:rPr>
      </w:pPr>
    </w:p>
    <w:p w:rsidR="009443D3" w:rsidRDefault="009443D3" w:rsidP="006D4B1B">
      <w:pPr>
        <w:tabs>
          <w:tab w:val="left" w:pos="284"/>
          <w:tab w:val="left" w:pos="2268"/>
        </w:tabs>
        <w:rPr>
          <w:rFonts w:ascii="Tahoma" w:eastAsia="Tahoma" w:hAnsi="Tahoma" w:cs="Tahoma"/>
          <w:color w:val="000000" w:themeColor="text1"/>
          <w:kern w:val="1"/>
          <w:sz w:val="18"/>
          <w:szCs w:val="18"/>
        </w:rPr>
      </w:pPr>
    </w:p>
    <w:p w:rsidR="009443D3" w:rsidRDefault="009443D3" w:rsidP="006D4B1B">
      <w:pPr>
        <w:tabs>
          <w:tab w:val="left" w:pos="284"/>
          <w:tab w:val="left" w:pos="2268"/>
        </w:tabs>
        <w:rPr>
          <w:rFonts w:ascii="Tahoma" w:eastAsia="Tahoma" w:hAnsi="Tahoma" w:cs="Tahoma"/>
          <w:color w:val="000000" w:themeColor="text1"/>
          <w:kern w:val="1"/>
          <w:sz w:val="18"/>
          <w:szCs w:val="18"/>
        </w:rPr>
      </w:pPr>
    </w:p>
    <w:p w:rsidR="009443D3" w:rsidRDefault="009443D3" w:rsidP="006D4B1B">
      <w:pPr>
        <w:tabs>
          <w:tab w:val="left" w:pos="284"/>
          <w:tab w:val="left" w:pos="2268"/>
        </w:tabs>
        <w:rPr>
          <w:rFonts w:ascii="Tahoma" w:eastAsia="Tahoma" w:hAnsi="Tahoma" w:cs="Tahoma"/>
          <w:color w:val="000000" w:themeColor="text1"/>
          <w:kern w:val="1"/>
          <w:sz w:val="18"/>
          <w:szCs w:val="18"/>
        </w:rPr>
      </w:pPr>
    </w:p>
    <w:p w:rsidR="009443D3" w:rsidRPr="00B67D97" w:rsidRDefault="009443D3" w:rsidP="006D4B1B">
      <w:pPr>
        <w:tabs>
          <w:tab w:val="left" w:pos="284"/>
          <w:tab w:val="left" w:pos="2268"/>
        </w:tabs>
        <w:rPr>
          <w:rFonts w:ascii="Tahoma" w:eastAsia="Tahoma" w:hAnsi="Tahoma" w:cs="Tahoma"/>
          <w:color w:val="000000" w:themeColor="text1"/>
          <w:kern w:val="1"/>
          <w:sz w:val="18"/>
          <w:szCs w:val="18"/>
        </w:rPr>
      </w:pPr>
    </w:p>
    <w:p w:rsidR="00543A60" w:rsidRDefault="00543A60"/>
    <w:sectPr w:rsidR="00543A60" w:rsidSect="005778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6837" w:h="11905" w:orient="landscape"/>
      <w:pgMar w:top="1418" w:right="1418" w:bottom="1418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B1B" w:rsidRDefault="006D4B1B" w:rsidP="006D4B1B">
      <w:r>
        <w:separator/>
      </w:r>
    </w:p>
  </w:endnote>
  <w:endnote w:type="continuationSeparator" w:id="0">
    <w:p w:rsidR="006D4B1B" w:rsidRDefault="006D4B1B" w:rsidP="006D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2E9" w:rsidRDefault="009F32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0709998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02CC1" w:rsidRDefault="00302CC1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F32E9" w:rsidRDefault="009F32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2E9" w:rsidRDefault="009F32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B1B" w:rsidRDefault="006D4B1B" w:rsidP="006D4B1B">
      <w:r>
        <w:separator/>
      </w:r>
    </w:p>
  </w:footnote>
  <w:footnote w:type="continuationSeparator" w:id="0">
    <w:p w:rsidR="006D4B1B" w:rsidRDefault="006D4B1B" w:rsidP="006D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2E9" w:rsidRDefault="009F32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B1B" w:rsidRDefault="006D4B1B" w:rsidP="006D4B1B">
    <w:pPr>
      <w:pStyle w:val="Nagwek"/>
      <w:jc w:val="right"/>
    </w:pPr>
    <w:r>
      <w:t xml:space="preserve">załącznik nr </w:t>
    </w:r>
    <w:r w:rsidR="009F32E9">
      <w:t>4.2</w:t>
    </w:r>
    <w:r w:rsidR="00827F80">
      <w:t xml:space="preserve"> do pakietu nr </w:t>
    </w:r>
    <w:r w:rsidR="00D278AE">
      <w:t>2</w:t>
    </w:r>
  </w:p>
  <w:p w:rsidR="006D4B1B" w:rsidRDefault="006D4B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2E9" w:rsidRDefault="009F32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05F3D"/>
    <w:multiLevelType w:val="hybridMultilevel"/>
    <w:tmpl w:val="BEA6896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840E5"/>
    <w:multiLevelType w:val="hybridMultilevel"/>
    <w:tmpl w:val="9B7A136E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802A9D"/>
    <w:multiLevelType w:val="hybridMultilevel"/>
    <w:tmpl w:val="FC0AA4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D2DD7"/>
    <w:multiLevelType w:val="multilevel"/>
    <w:tmpl w:val="AEC448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4EDB70CA"/>
    <w:multiLevelType w:val="multilevel"/>
    <w:tmpl w:val="83D625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60626CE6"/>
    <w:multiLevelType w:val="hybridMultilevel"/>
    <w:tmpl w:val="0B923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C7F4E"/>
    <w:multiLevelType w:val="hybridMultilevel"/>
    <w:tmpl w:val="4E881CB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B1B"/>
    <w:rsid w:val="000C52D5"/>
    <w:rsid w:val="000E2083"/>
    <w:rsid w:val="002C5B43"/>
    <w:rsid w:val="00302CC1"/>
    <w:rsid w:val="00543A60"/>
    <w:rsid w:val="005B3254"/>
    <w:rsid w:val="005E4C91"/>
    <w:rsid w:val="006D4B1B"/>
    <w:rsid w:val="00827F80"/>
    <w:rsid w:val="009443D3"/>
    <w:rsid w:val="009F32E9"/>
    <w:rsid w:val="00CB3E35"/>
    <w:rsid w:val="00D2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B45C43-9B49-423F-BB14-A541ADD6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4B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D4B1B"/>
    <w:pPr>
      <w:suppressAutoHyphens w:val="0"/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4B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B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D4B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B1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Lech</dc:creator>
  <cp:keywords/>
  <dc:description/>
  <cp:lastModifiedBy>Aleksandra Niezgoda</cp:lastModifiedBy>
  <cp:revision>11</cp:revision>
  <cp:lastPrinted>2026-03-25T06:51:00Z</cp:lastPrinted>
  <dcterms:created xsi:type="dcterms:W3CDTF">2024-01-30T08:39:00Z</dcterms:created>
  <dcterms:modified xsi:type="dcterms:W3CDTF">2026-04-29T07:18:00Z</dcterms:modified>
</cp:coreProperties>
</file>